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E6F497F">
      <w:pPr>
        <w:pStyle w:val="style0"/>
        <w:rPr>
          <w:rFonts w:cs="Calibri Light"/>
          <w:b/>
          <w:bCs/>
          <w:sz w:val="22"/>
          <w:szCs w:val="22"/>
        </w:rPr>
      </w:pPr>
      <w:r>
        <w:rPr>
          <w:rFonts w:cs="Calibri Light"/>
          <w:b/>
          <w:bCs/>
          <w:sz w:val="22"/>
          <w:szCs w:val="22"/>
        </w:rPr>
        <w:t>PRESS RELEASE</w:t>
      </w:r>
    </w:p>
    <w:p w14:paraId="7A3F09C7">
      <w:pPr>
        <w:pStyle w:val="style0"/>
        <w:rPr>
          <w:rFonts w:cs="Calibri Light"/>
          <w:b/>
          <w:bCs/>
          <w:sz w:val="22"/>
          <w:szCs w:val="22"/>
        </w:rPr>
      </w:pPr>
      <w:r>
        <w:rPr>
          <w:rFonts w:cs="Calibri Light"/>
          <w:b/>
          <w:bCs/>
          <w:sz w:val="22"/>
          <w:szCs w:val="22"/>
        </w:rPr>
        <w:t>Zimbabwe-Zambia Energy Projects Summit returns to Livingstone for third edition</w:t>
      </w:r>
    </w:p>
    <w:p w14:paraId="5F670835">
      <w:pPr>
        <w:pStyle w:val="style0"/>
        <w:rPr>
          <w:rFonts w:cs="Calibri Light"/>
          <w:sz w:val="22"/>
          <w:szCs w:val="22"/>
        </w:rPr>
      </w:pPr>
      <w:r>
        <w:rPr>
          <w:rFonts w:cs="Calibri Light"/>
          <w:b/>
          <w:bCs/>
          <w:sz w:val="22"/>
          <w:szCs w:val="22"/>
        </w:rPr>
        <w:t>Livingstone, Zambia</w:t>
      </w:r>
      <w:r>
        <w:rPr>
          <w:rFonts w:cs="Calibri Light"/>
          <w:b/>
          <w:bCs/>
          <w:sz w:val="22"/>
          <w:szCs w:val="22"/>
        </w:rPr>
        <w:t xml:space="preserve"> - </w:t>
      </w:r>
      <w:r>
        <w:rPr>
          <w:rFonts w:cs="Calibri Light"/>
          <w:b/>
          <w:bCs/>
          <w:sz w:val="22"/>
          <w:szCs w:val="22"/>
        </w:rPr>
        <w:t>19 October 2026:</w:t>
      </w:r>
      <w:r>
        <w:rPr>
          <w:rFonts w:cs="Calibri Light"/>
          <w:sz w:val="22"/>
          <w:szCs w:val="22"/>
        </w:rPr>
        <w:t xml:space="preserve"> </w:t>
      </w:r>
      <w:r>
        <w:rPr>
          <w:rFonts w:cs="Calibri Light"/>
          <w:sz w:val="22"/>
          <w:szCs w:val="22"/>
        </w:rPr>
        <w:t>The Zimbabwe-Zambia Energy Projects Summit (Zim-Zam) returns to the Radisson Blu Mosi-Oa-Tunya in Livingstone from 3</w:t>
      </w:r>
      <w:r>
        <w:rPr>
          <w:rFonts w:cs="Calibri Light"/>
          <w:sz w:val="22"/>
          <w:szCs w:val="22"/>
        </w:rPr>
        <w:t xml:space="preserve"> - </w:t>
      </w:r>
      <w:r>
        <w:rPr>
          <w:rFonts w:cs="Calibri Light"/>
          <w:sz w:val="22"/>
          <w:szCs w:val="22"/>
        </w:rPr>
        <w:t>5 November 2026 for its third edition, with investment, projects and delivery across the two markets at the centre of the programme.</w:t>
      </w:r>
    </w:p>
    <w:p w14:paraId="0EB2CF45">
      <w:pPr>
        <w:pStyle w:val="style0"/>
        <w:rPr>
          <w:rFonts w:cs="Calibri Light"/>
          <w:sz w:val="22"/>
          <w:szCs w:val="22"/>
        </w:rPr>
      </w:pPr>
      <w:r>
        <w:rPr>
          <w:rFonts w:cs="Calibri Light"/>
          <w:sz w:val="22"/>
          <w:szCs w:val="22"/>
        </w:rPr>
        <w:t xml:space="preserve">Organised by EnergyNet, the Summit runs under the theme </w:t>
      </w:r>
      <w:r>
        <w:rPr>
          <w:rFonts w:cs="Calibri Light"/>
          <w:i/>
          <w:iCs/>
          <w:sz w:val="22"/>
          <w:szCs w:val="22"/>
        </w:rPr>
        <w:t>“Celebrating How Zambia and Zimbabwe Have Unlocked FDI Through Connectivity, Credibility and Cooperation,”</w:t>
      </w:r>
      <w:r>
        <w:rPr>
          <w:rFonts w:cs="Calibri Light"/>
          <w:sz w:val="22"/>
          <w:szCs w:val="22"/>
        </w:rPr>
        <w:t xml:space="preserve"> reflecting the progress made since Zim-Zam first launched in 2024.</w:t>
      </w:r>
    </w:p>
    <w:p w14:paraId="7CC640C3">
      <w:pPr>
        <w:pStyle w:val="style0"/>
        <w:rPr>
          <w:rFonts w:cs="Calibri Light"/>
          <w:sz w:val="22"/>
          <w:szCs w:val="22"/>
        </w:rPr>
      </w:pPr>
      <w:r>
        <w:rPr>
          <w:rFonts w:cs="Calibri Light"/>
          <w:sz w:val="22"/>
          <w:szCs w:val="22"/>
        </w:rPr>
        <w:t xml:space="preserve">Much of the investment now reaching both countries has followed growing industrial demand for reliable power. Copperbelt Energy Corporation financed the second phase of </w:t>
      </w:r>
      <w:r>
        <w:rPr>
          <w:rFonts w:cs="Calibri Light"/>
          <w:sz w:val="22"/>
          <w:szCs w:val="22"/>
        </w:rPr>
        <w:t>Itimpi</w:t>
      </w:r>
      <w:r>
        <w:rPr>
          <w:rFonts w:cs="Calibri Light"/>
          <w:sz w:val="22"/>
          <w:szCs w:val="22"/>
        </w:rPr>
        <w:t xml:space="preserve"> through a green bond programme on local capital markets, while First Quantum Minerals is working with independent power producers to supply its Zambian mining operations.</w:t>
      </w:r>
    </w:p>
    <w:p w14:paraId="5CAF699B">
      <w:pPr>
        <w:pStyle w:val="style0"/>
        <w:rPr>
          <w:rFonts w:cs="Calibri Light"/>
          <w:sz w:val="22"/>
          <w:szCs w:val="22"/>
        </w:rPr>
      </w:pPr>
      <w:r>
        <w:rPr>
          <w:rFonts w:cs="Calibri Light"/>
          <w:sz w:val="22"/>
          <w:szCs w:val="22"/>
        </w:rPr>
        <w:t>Zimbabwe has also opened greater space for private participation, with ZESA Holdings reporting 635MW of private generation under construction and a further 730MW progressing towards financial close.</w:t>
      </w:r>
    </w:p>
    <w:p w14:paraId="50734762">
      <w:pPr>
        <w:pStyle w:val="style0"/>
        <w:rPr>
          <w:rFonts w:cs="Calibri Light"/>
          <w:sz w:val="22"/>
          <w:szCs w:val="22"/>
        </w:rPr>
      </w:pPr>
      <w:r>
        <w:rPr>
          <w:rFonts w:cs="Calibri Light"/>
          <w:sz w:val="22"/>
          <w:szCs w:val="22"/>
        </w:rPr>
        <w:t xml:space="preserve">In Livingstone, the focus turns to what comes next: from new generation supporting mining and industry to the transmission infrastructure and interconnectors carrying power across both countries and into the Southern African Power Pool. </w:t>
      </w:r>
      <w:r>
        <w:rPr>
          <w:rFonts w:cs="Calibri Light"/>
          <w:sz w:val="22"/>
          <w:szCs w:val="22"/>
        </w:rPr>
        <w:t>Lumwana</w:t>
      </w:r>
      <w:r>
        <w:rPr>
          <w:rFonts w:cs="Calibri Light"/>
          <w:sz w:val="22"/>
          <w:szCs w:val="22"/>
        </w:rPr>
        <w:t xml:space="preserve"> Super Pit, the Kansanshi S3 expansion, Chisamba Solar and Kariba Floating Solar are among the projects set to inform discussions, alongside project pipeline presentations from Zambia and Zimbabwe.</w:t>
      </w:r>
    </w:p>
    <w:p w14:paraId="71865FE7">
      <w:pPr>
        <w:pStyle w:val="style0"/>
        <w:rPr>
          <w:rFonts w:cs="Calibri Light"/>
          <w:sz w:val="22"/>
          <w:szCs w:val="22"/>
        </w:rPr>
      </w:pPr>
      <w:r>
        <w:rPr>
          <w:rFonts w:cs="Calibri Light"/>
          <w:sz w:val="22"/>
          <w:szCs w:val="22"/>
        </w:rPr>
        <w:t>Leading those conversations will be H</w:t>
      </w:r>
      <w:r>
        <w:rPr>
          <w:rFonts w:cs="Calibri Light"/>
          <w:sz w:val="22"/>
          <w:szCs w:val="22"/>
        </w:rPr>
        <w:t>.E. Honourable</w:t>
      </w:r>
      <w:r>
        <w:rPr>
          <w:rFonts w:cs="Calibri Light"/>
          <w:sz w:val="22"/>
          <w:szCs w:val="22"/>
        </w:rPr>
        <w:t xml:space="preserve"> July Moyo, Zimbabwe’s Minister of Energy and Power Development; </w:t>
      </w:r>
      <w:r>
        <w:rPr>
          <w:rFonts w:cs="Calibri Light"/>
          <w:sz w:val="22"/>
          <w:szCs w:val="22"/>
        </w:rPr>
        <w:t xml:space="preserve">H.E. Honourable Dr Gilbert Siame, Minister of Green Economy &amp; Environment, Zambia; </w:t>
      </w:r>
      <w:r>
        <w:rPr>
          <w:rFonts w:cs="Calibri Light"/>
          <w:sz w:val="22"/>
          <w:szCs w:val="22"/>
        </w:rPr>
        <w:t xml:space="preserve">Mulele </w:t>
      </w:r>
      <w:r>
        <w:rPr>
          <w:rFonts w:cs="Calibri Light"/>
          <w:sz w:val="22"/>
          <w:szCs w:val="22"/>
        </w:rPr>
        <w:t>Mulele</w:t>
      </w:r>
      <w:r>
        <w:rPr>
          <w:rFonts w:cs="Calibri Light"/>
          <w:sz w:val="22"/>
          <w:szCs w:val="22"/>
        </w:rPr>
        <w:t>, Permanent Secretary, Economic Management &amp; Finance, Ministry of Finance &amp; National Planning, Zambia</w:t>
      </w:r>
      <w:r>
        <w:rPr>
          <w:rFonts w:cs="Calibri Light"/>
          <w:sz w:val="22"/>
          <w:szCs w:val="22"/>
        </w:rPr>
        <w:t xml:space="preserve">; </w:t>
      </w:r>
      <w:r>
        <w:rPr>
          <w:rFonts w:cs="Calibri Light"/>
          <w:sz w:val="22"/>
          <w:szCs w:val="22"/>
        </w:rPr>
        <w:t xml:space="preserve">Arnold Simwamba, Permanent Secretary, Electricity, Ministry of Energy, Zambia; </w:t>
      </w:r>
      <w:r>
        <w:rPr>
          <w:rFonts w:cs="Calibri Light"/>
          <w:sz w:val="22"/>
          <w:szCs w:val="22"/>
        </w:rPr>
        <w:t>Cornwell Muleya, CEO, Industrial Development Corporation (IDC), Zambia</w:t>
      </w:r>
      <w:r>
        <w:rPr>
          <w:rFonts w:cs="Calibri Light"/>
          <w:sz w:val="22"/>
          <w:szCs w:val="22"/>
        </w:rPr>
        <w:t xml:space="preserve">; </w:t>
      </w:r>
      <w:r>
        <w:rPr>
          <w:rFonts w:cs="Calibri Light"/>
          <w:sz w:val="22"/>
          <w:szCs w:val="22"/>
        </w:rPr>
        <w:t xml:space="preserve">Cletus </w:t>
      </w:r>
      <w:r>
        <w:rPr>
          <w:rFonts w:cs="Calibri Light"/>
          <w:sz w:val="22"/>
          <w:szCs w:val="22"/>
        </w:rPr>
        <w:t>Nyachowe</w:t>
      </w:r>
      <w:r>
        <w:rPr>
          <w:rFonts w:cs="Calibri Light"/>
          <w:sz w:val="22"/>
          <w:szCs w:val="22"/>
        </w:rPr>
        <w:t>, Group CEO, ZESA Holdings and Simbarashe Pasipamire, Electricity Market Analyst, Southern African Power Pool.</w:t>
      </w:r>
    </w:p>
    <w:p w14:paraId="4B1A10EF">
      <w:pPr>
        <w:pStyle w:val="style0"/>
        <w:rPr>
          <w:rFonts w:cs="Calibri Light"/>
          <w:sz w:val="22"/>
          <w:szCs w:val="22"/>
        </w:rPr>
      </w:pPr>
      <w:r>
        <w:rPr>
          <w:rFonts w:cs="Calibri Light"/>
          <w:sz w:val="22"/>
          <w:szCs w:val="22"/>
        </w:rPr>
        <w:t xml:space="preserve">They will be joined by investment and private-sector participants including Omar Jabri, Head of Business Development Africa, Private Infrastructure Development Group; Jason De Carteret, CEO, </w:t>
      </w:r>
      <w:r>
        <w:rPr>
          <w:rFonts w:cs="Calibri Light"/>
          <w:sz w:val="22"/>
          <w:szCs w:val="22"/>
        </w:rPr>
        <w:t>Solarcentury</w:t>
      </w:r>
      <w:r>
        <w:rPr>
          <w:rFonts w:cs="Calibri Light"/>
          <w:sz w:val="22"/>
          <w:szCs w:val="22"/>
        </w:rPr>
        <w:t xml:space="preserve"> Africa; Monie </w:t>
      </w:r>
      <w:r>
        <w:rPr>
          <w:rFonts w:cs="Calibri Light"/>
          <w:sz w:val="22"/>
          <w:szCs w:val="22"/>
        </w:rPr>
        <w:t>Captan</w:t>
      </w:r>
      <w:r>
        <w:rPr>
          <w:rFonts w:cs="Calibri Light"/>
          <w:sz w:val="22"/>
          <w:szCs w:val="22"/>
        </w:rPr>
        <w:t xml:space="preserve">, Deputy CEO, West Africa, </w:t>
      </w:r>
      <w:r>
        <w:rPr>
          <w:rFonts w:cs="Calibri Light"/>
          <w:sz w:val="22"/>
          <w:szCs w:val="22"/>
        </w:rPr>
        <w:t>Petrodex</w:t>
      </w:r>
      <w:r>
        <w:rPr>
          <w:rFonts w:cs="Calibri Light"/>
          <w:sz w:val="22"/>
          <w:szCs w:val="22"/>
        </w:rPr>
        <w:t xml:space="preserve"> and </w:t>
      </w:r>
      <w:r>
        <w:rPr>
          <w:rFonts w:cs="Calibri Light"/>
          <w:sz w:val="22"/>
          <w:szCs w:val="22"/>
        </w:rPr>
        <w:t>Sipho Phiri, Chairman, Kwama Energy &amp; Executive Chairman, Western Power Company</w:t>
      </w:r>
      <w:r>
        <w:rPr>
          <w:rFonts w:cs="Calibri Light"/>
          <w:sz w:val="22"/>
          <w:szCs w:val="22"/>
        </w:rPr>
        <w:t xml:space="preserve"> as the programme examines the financing structures and partnerships that could move the next pipeline of projects towards construction.</w:t>
      </w:r>
    </w:p>
    <w:p w14:paraId="378858BA">
      <w:pPr>
        <w:pStyle w:val="style0"/>
        <w:rPr>
          <w:rFonts w:cs="Calibri Light"/>
          <w:sz w:val="22"/>
          <w:szCs w:val="22"/>
        </w:rPr>
      </w:pPr>
      <w:r>
        <w:rPr>
          <w:rFonts w:cs="Calibri Light"/>
          <w:sz w:val="22"/>
          <w:szCs w:val="22"/>
        </w:rPr>
        <w:t xml:space="preserve">Copperbelt Energy Corporation joins as Country Host, with </w:t>
      </w:r>
      <w:r>
        <w:rPr>
          <w:rFonts w:cs="Calibri Light"/>
          <w:sz w:val="22"/>
          <w:szCs w:val="22"/>
        </w:rPr>
        <w:t>Petrodex</w:t>
      </w:r>
      <w:r>
        <w:rPr>
          <w:rFonts w:cs="Calibri Light"/>
          <w:sz w:val="22"/>
          <w:szCs w:val="22"/>
        </w:rPr>
        <w:t xml:space="preserve"> as Summit Sponsor</w:t>
      </w:r>
      <w:r>
        <w:rPr>
          <w:rFonts w:cs="Calibri Light"/>
          <w:sz w:val="22"/>
          <w:szCs w:val="22"/>
        </w:rPr>
        <w:t xml:space="preserve">, </w:t>
      </w:r>
      <w:r>
        <w:rPr>
          <w:rFonts w:cs="Calibri Light"/>
          <w:sz w:val="22"/>
          <w:szCs w:val="22"/>
        </w:rPr>
        <w:t>Bowmans and Standard Bank as Lead Sponsors</w:t>
      </w:r>
      <w:r>
        <w:rPr>
          <w:rFonts w:cs="Calibri Light"/>
          <w:sz w:val="22"/>
          <w:szCs w:val="22"/>
        </w:rPr>
        <w:t xml:space="preserve">, </w:t>
      </w:r>
      <w:r>
        <w:rPr>
          <w:rFonts w:cs="Calibri Light"/>
          <w:sz w:val="22"/>
          <w:szCs w:val="22"/>
        </w:rPr>
        <w:t>Soleos</w:t>
      </w:r>
      <w:r>
        <w:rPr>
          <w:rFonts w:cs="Calibri Light"/>
          <w:sz w:val="22"/>
          <w:szCs w:val="22"/>
        </w:rPr>
        <w:t xml:space="preserve"> as Sponsor and </w:t>
      </w:r>
      <w:r>
        <w:rPr>
          <w:rFonts w:cs="Calibri Light"/>
          <w:sz w:val="22"/>
          <w:szCs w:val="22"/>
        </w:rPr>
        <w:t>Metmin</w:t>
      </w:r>
      <w:r>
        <w:rPr>
          <w:rFonts w:cs="Calibri Light"/>
          <w:sz w:val="22"/>
          <w:szCs w:val="22"/>
        </w:rPr>
        <w:t xml:space="preserve"> and </w:t>
      </w:r>
      <w:r>
        <w:rPr>
          <w:rFonts w:cs="Calibri Light"/>
          <w:sz w:val="22"/>
          <w:szCs w:val="22"/>
        </w:rPr>
        <w:t>Modaso</w:t>
      </w:r>
      <w:r>
        <w:rPr>
          <w:rFonts w:cs="Calibri Light"/>
          <w:sz w:val="22"/>
          <w:szCs w:val="22"/>
        </w:rPr>
        <w:t xml:space="preserve"> Energy as Associate Sponsors.</w:t>
      </w:r>
    </w:p>
    <w:p w14:paraId="4ABFA40A">
      <w:pPr>
        <w:pStyle w:val="style0"/>
        <w:rPr>
          <w:rFonts w:cs="Calibri Light"/>
          <w:sz w:val="22"/>
          <w:szCs w:val="22"/>
        </w:rPr>
      </w:pPr>
      <w:r>
        <w:rPr>
          <w:rFonts w:cs="Calibri Light"/>
          <w:i/>
          <w:iCs/>
          <w:sz w:val="22"/>
          <w:szCs w:val="22"/>
        </w:rPr>
        <w:t xml:space="preserve">“Southern Africa is proving that interconnection through SAPP and a credible, investor-friendly regulatory environment translate directly into deal flow. Across the region, projects are reaching </w:t>
      </w:r>
      <w:r>
        <w:rPr>
          <w:rFonts w:cs="Calibri Light"/>
          <w:i/>
          <w:iCs/>
          <w:sz w:val="22"/>
          <w:szCs w:val="22"/>
        </w:rPr>
        <w:t>financial close, lenders are backing new offtake models and private capital is moving into transmission and trading. The Zimbabwe-Zambia Energy Projects Summit brings together the governments, utilities, financiers and developers behind that progress, giving us all the chance to celebrate what has been achieved and to plan for more of it. Bowmans is proud to sponsor the summit and to be alongside our clients making these transactions happen.” -</w:t>
      </w:r>
      <w:r>
        <w:rPr>
          <w:rFonts w:cs="Calibri Light"/>
          <w:sz w:val="22"/>
          <w:szCs w:val="22"/>
        </w:rPr>
        <w:t xml:space="preserve"> </w:t>
      </w:r>
      <w:r>
        <w:rPr>
          <w:rFonts w:cs="Calibri Light"/>
          <w:sz w:val="22"/>
          <w:szCs w:val="22"/>
        </w:rPr>
        <w:t>Aleem Tharani, Partner</w:t>
      </w:r>
      <w:r>
        <w:rPr>
          <w:rFonts w:cs="Calibri Light"/>
          <w:sz w:val="22"/>
          <w:szCs w:val="22"/>
        </w:rPr>
        <w:t xml:space="preserve"> at</w:t>
      </w:r>
      <w:r>
        <w:rPr>
          <w:rFonts w:cs="Calibri Light"/>
          <w:sz w:val="22"/>
          <w:szCs w:val="22"/>
        </w:rPr>
        <w:t xml:space="preserve"> Bowmans</w:t>
      </w:r>
    </w:p>
    <w:p w14:paraId="6489ACE6">
      <w:pPr>
        <w:pStyle w:val="style0"/>
        <w:rPr>
          <w:rFonts w:cs="Calibri Light"/>
          <w:i/>
          <w:iCs/>
          <w:sz w:val="22"/>
          <w:szCs w:val="22"/>
          <w:lang w:val="en-US"/>
        </w:rPr>
      </w:pPr>
      <w:r>
        <w:rPr>
          <w:rFonts w:cs="Calibri Light"/>
          <w:i/>
          <w:iCs/>
          <w:sz w:val="22"/>
          <w:szCs w:val="22"/>
          <w:lang w:val="en-ZA"/>
        </w:rPr>
        <w:t xml:space="preserve">“Regional integration is essential to unlocking Africa’s full power and renewable-energy potential. Stronger cross-border transmission networks and coordinated markets will allow countries to share diverse energy resources and improve the region’s energy supply. This can in-turn attract long-term investment. This event has continued to enable meaningful engagement between public- and private-sector stakeholders who share our commitment to driving growth across Africa. By aligning regulation, planning and infrastructure development, we can accelerate the delivery of reliable, affordable and cleaner power to support inclusive economic growth,” - </w:t>
      </w:r>
      <w:r>
        <w:rPr>
          <w:rFonts w:cs="Calibri Light"/>
          <w:sz w:val="22"/>
          <w:szCs w:val="22"/>
          <w:lang w:val="en-ZA"/>
        </w:rPr>
        <w:t>Sherrill Byrne, Head Project Finance in Energy and Infrastructure at Standard Bank Corporate and Investment Banking</w:t>
      </w:r>
    </w:p>
    <w:p w14:paraId="6F2B9263">
      <w:pPr>
        <w:pStyle w:val="style0"/>
        <w:rPr>
          <w:rFonts w:cs="Calibri Light"/>
          <w:sz w:val="22"/>
          <w:szCs w:val="22"/>
        </w:rPr>
      </w:pPr>
      <w:r>
        <w:rPr>
          <w:rFonts w:cs="Calibri Light"/>
          <w:sz w:val="22"/>
          <w:szCs w:val="22"/>
        </w:rPr>
        <w:t>“Zambia and Zimbabwe are at a critical moment in their energy development. The urgent need to diversify away from climate-vulnerable hydro towards solar and hybrid solutions, combined with bold regulatory reforms in open access, wheeling and private sector participation, has positioned both countries as compelling investment destinations. Zim-Zam is about turning that momentum into action. We need to move beyond discussions to unlocking FDI, de-risking IPP frameworks and accelerating bankable projects and cross-border infrastructure. The opportunity is clear, but the priority now must be delivery.”</w:t>
      </w:r>
      <w:r>
        <w:rPr>
          <w:rFonts w:cs="Calibri Light"/>
          <w:sz w:val="22"/>
          <w:szCs w:val="22"/>
        </w:rPr>
        <w:t xml:space="preserve"> – </w:t>
      </w:r>
      <w:r>
        <w:rPr>
          <w:rFonts w:cs="Calibri Light"/>
          <w:sz w:val="22"/>
          <w:szCs w:val="22"/>
        </w:rPr>
        <w:t>Abdoulaye Sylla</w:t>
      </w:r>
      <w:r>
        <w:rPr>
          <w:rFonts w:cs="Calibri Light"/>
          <w:sz w:val="22"/>
          <w:szCs w:val="22"/>
        </w:rPr>
        <w:t xml:space="preserve">, </w:t>
      </w:r>
      <w:r>
        <w:rPr>
          <w:rFonts w:cs="Calibri Light"/>
          <w:sz w:val="22"/>
          <w:szCs w:val="22"/>
        </w:rPr>
        <w:t>Group Deputy Director for Africa</w:t>
      </w:r>
      <w:r>
        <w:rPr>
          <w:rFonts w:cs="Calibri Light"/>
          <w:sz w:val="22"/>
          <w:szCs w:val="22"/>
        </w:rPr>
        <w:t xml:space="preserve"> at </w:t>
      </w:r>
      <w:r>
        <w:rPr>
          <w:rFonts w:cs="Calibri Light"/>
          <w:sz w:val="22"/>
          <w:szCs w:val="22"/>
        </w:rPr>
        <w:t>EnergyNet</w:t>
      </w:r>
      <w:r>
        <w:rPr>
          <w:rFonts w:cs="Calibri Light"/>
          <w:sz w:val="22"/>
          <w:szCs w:val="22"/>
        </w:rPr>
        <w:t xml:space="preserve"> </w:t>
      </w:r>
    </w:p>
    <w:p w14:paraId="5D86F8B3">
      <w:pPr>
        <w:pStyle w:val="style0"/>
        <w:rPr>
          <w:rFonts w:cs="Calibri Light"/>
          <w:sz w:val="22"/>
          <w:szCs w:val="22"/>
        </w:rPr>
      </w:pPr>
      <w:r>
        <w:rPr>
          <w:rFonts w:cs="Calibri Light"/>
          <w:sz w:val="22"/>
          <w:szCs w:val="22"/>
        </w:rPr>
        <w:t>Zim-Zam return</w:t>
      </w:r>
      <w:r>
        <w:rPr>
          <w:rFonts w:cs="Calibri Light"/>
          <w:sz w:val="22"/>
          <w:szCs w:val="22"/>
        </w:rPr>
        <w:t>s</w:t>
      </w:r>
      <w:r>
        <w:rPr>
          <w:rFonts w:cs="Calibri Light"/>
          <w:sz w:val="22"/>
          <w:szCs w:val="22"/>
        </w:rPr>
        <w:t xml:space="preserve"> to Livingstone this November as both markets look to build on recent reform and investment and move the next generation of energy projects towards delivery.</w:t>
      </w:r>
    </w:p>
    <w:p w14:paraId="1DFFD74D">
      <w:pPr>
        <w:pStyle w:val="style0"/>
        <w:rPr/>
      </w:pPr>
      <w:r>
        <w:rPr>
          <w:b/>
          <w:bCs/>
        </w:rPr>
        <w:t>ENDS</w:t>
      </w:r>
    </w:p>
    <w:p w14:paraId="30F4C0D4">
      <w:pPr>
        <w:pStyle w:val="style0"/>
        <w:rPr/>
      </w:pPr>
    </w:p>
    <w:sectPr>
      <w:headerReference w:type="default" r:id="rId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ptos"/>
    <w:panose1 w:val="00000000000000000000"/>
    <w:charset w:val="00"/>
    <w:family w:val="swiss"/>
    <w:pitch w:val="variable"/>
    <w:sig w:usb0="20000287" w:usb1="00000003" w:usb2="00000000" w:usb3="00000000" w:csb0="0000019F" w:csb1="00000000"/>
  </w:font>
  <w:font w:name="Times New Roman">
    <w:altName w:val="Times New Roman"/>
    <w:panose1 w:val="02020603050004020304"/>
    <w:charset w:val="00"/>
    <w:family w:val="roman"/>
    <w:pitch w:val="variable"/>
    <w:sig w:usb0="E0002EFF" w:usb1="C000785B" w:usb2="00000009" w:usb3="00000000" w:csb0="000001FF" w:csb1="00000000"/>
  </w:font>
  <w:font w:name="Aptos Display">
    <w:altName w:val="Aptos Display"/>
    <w:panose1 w:val="00000000000000000000"/>
    <w:charset w:val="00"/>
    <w:family w:val="swiss"/>
    <w:pitch w:val="variable"/>
    <w:sig w:usb0="20000287" w:usb1="00000003" w:usb2="00000000" w:usb3="00000000" w:csb0="0000019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78C7AD6">
    <w:pPr>
      <w:pStyle w:val="style31"/>
      <w:rPr/>
    </w:pPr>
    <w:r>
      <w:rPr>
        <w:noProof/>
      </w:rPr>
      <w:drawing>
        <wp:anchor distT="0" distB="0" distL="0" distR="0" simplePos="false" relativeHeight="3" behindDoc="false" locked="false" layoutInCell="true" allowOverlap="true">
          <wp:simplePos x="0" y="0"/>
          <wp:positionH relativeFrom="margin">
            <wp:align>left</wp:align>
          </wp:positionH>
          <wp:positionV relativeFrom="paragraph">
            <wp:posOffset>-297180</wp:posOffset>
          </wp:positionV>
          <wp:extent cx="1206500" cy="755015"/>
          <wp:effectExtent l="0" t="0" r="0" b="6985"/>
          <wp:wrapNone/>
          <wp:docPr id="409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cstate="print"/>
                  <a:srcRect l="0" t="0" r="0" b="0"/>
                  <a:stretch/>
                </pic:blipFill>
                <pic:spPr>
                  <a:xfrm rot="0">
                    <a:off x="0" y="0"/>
                    <a:ext cx="1206500" cy="755015"/>
                  </a:xfrm>
                  <a:prstGeom prst="rect"/>
                  <a:ln>
                    <a:noFill/>
                  </a:ln>
                </pic:spPr>
              </pic:pic>
            </a:graphicData>
          </a:graphic>
        </wp:anchor>
      </w:drawing>
    </w:r>
    <w:r>
      <w:rPr>
        <w:noProof/>
      </w:rPr>
      <w:drawing>
        <wp:anchor distT="0" distB="0" distL="0" distR="0" simplePos="false" relativeHeight="2" behindDoc="false" locked="false" layoutInCell="true" allowOverlap="true">
          <wp:simplePos x="0" y="0"/>
          <wp:positionH relativeFrom="margin">
            <wp:align>right</wp:align>
          </wp:positionH>
          <wp:positionV relativeFrom="paragraph">
            <wp:posOffset>-376555</wp:posOffset>
          </wp:positionV>
          <wp:extent cx="1454150" cy="1025284"/>
          <wp:effectExtent l="0" t="0" r="0" b="0"/>
          <wp:wrapNone/>
          <wp:docPr id="4098"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2" cstate="print"/>
                  <a:srcRect l="0" t="0" r="0" b="0"/>
                  <a:stretch/>
                </pic:blipFill>
                <pic:spPr>
                  <a:xfrm rot="0">
                    <a:off x="0" y="0"/>
                    <a:ext cx="1454150" cy="1025284"/>
                  </a:xfrm>
                  <a:prstGeom prst="rect"/>
                  <a:ln>
                    <a:noFill/>
                  </a:ln>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2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cs="宋体" w:eastAsia="Aptos" w:hAnsi="Aptos"/>
        <w:kern w:val="2"/>
        <w:sz w:val="24"/>
        <w:szCs w:val="24"/>
        <w:lang w:val="en-GB"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Aptos Display" w:cs="宋体" w:eastAsia="宋体" w:hAnsi="Aptos Display"/>
      <w:color w:val="0f4761"/>
      <w:sz w:val="40"/>
      <w:szCs w:val="40"/>
    </w:rPr>
  </w:style>
  <w:style w:type="paragraph" w:styleId="style2">
    <w:name w:val="heading 2"/>
    <w:basedOn w:val="style0"/>
    <w:next w:val="style0"/>
    <w:link w:val="style4098"/>
    <w:qFormat/>
    <w:uiPriority w:val="9"/>
    <w:pPr>
      <w:keepNext/>
      <w:keepLines/>
      <w:spacing w:before="160" w:after="80"/>
      <w:outlineLvl w:val="1"/>
    </w:pPr>
    <w:rPr>
      <w:rFonts w:ascii="Aptos Display" w:cs="宋体" w:eastAsia="宋体" w:hAnsi="Aptos Display"/>
      <w:color w:val="0f4761"/>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0f4761"/>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0f4761"/>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0f4761"/>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5d202a2-1991-450f-9bdd-c2bd12296352"/>
    <w:basedOn w:val="style65"/>
    <w:next w:val="style4097"/>
    <w:link w:val="style1"/>
    <w:uiPriority w:val="9"/>
    <w:rPr>
      <w:rFonts w:ascii="Aptos Display" w:cs="宋体" w:eastAsia="宋体" w:hAnsi="Aptos Display"/>
      <w:color w:val="0f4761"/>
      <w:sz w:val="40"/>
      <w:szCs w:val="40"/>
    </w:rPr>
  </w:style>
  <w:style w:type="character" w:customStyle="1" w:styleId="style4098">
    <w:name w:val="Heading 2 Char_34e07a9f-993e-456c-b0cd-a6d5fead9b85"/>
    <w:basedOn w:val="style65"/>
    <w:next w:val="style4098"/>
    <w:link w:val="style2"/>
    <w:uiPriority w:val="9"/>
    <w:rPr>
      <w:rFonts w:ascii="Aptos Display" w:cs="宋体" w:eastAsia="宋体" w:hAnsi="Aptos Display"/>
      <w:color w:val="0f4761"/>
      <w:sz w:val="32"/>
      <w:szCs w:val="32"/>
    </w:rPr>
  </w:style>
  <w:style w:type="character" w:customStyle="1" w:styleId="style4099">
    <w:name w:val="Heading 3 Char_fa10b52e-ce84-4a94-b903-21fb6e6e6305"/>
    <w:basedOn w:val="style65"/>
    <w:next w:val="style4099"/>
    <w:link w:val="style3"/>
    <w:uiPriority w:val="9"/>
    <w:rPr>
      <w:rFonts w:cs="宋体" w:eastAsia="宋体"/>
      <w:color w:val="0f4761"/>
      <w:sz w:val="28"/>
      <w:szCs w:val="28"/>
    </w:rPr>
  </w:style>
  <w:style w:type="character" w:customStyle="1" w:styleId="style4100">
    <w:name w:val="Heading 4 Char_1aa5a350-5e23-4c38-b6c0-bbbb2078ef43"/>
    <w:basedOn w:val="style65"/>
    <w:next w:val="style4100"/>
    <w:link w:val="style4"/>
    <w:uiPriority w:val="9"/>
    <w:rPr>
      <w:rFonts w:cs="宋体" w:eastAsia="宋体"/>
      <w:i/>
      <w:iCs/>
      <w:color w:val="0f4761"/>
    </w:rPr>
  </w:style>
  <w:style w:type="character" w:customStyle="1" w:styleId="style4101">
    <w:name w:val="Heading 5 Char_fe981351-1bf5-471b-a1b0-e37629fed716"/>
    <w:basedOn w:val="style65"/>
    <w:next w:val="style4101"/>
    <w:link w:val="style5"/>
    <w:uiPriority w:val="9"/>
    <w:rPr>
      <w:rFonts w:cs="宋体" w:eastAsia="宋体"/>
      <w:color w:val="0f4761"/>
    </w:rPr>
  </w:style>
  <w:style w:type="character" w:customStyle="1" w:styleId="style4102">
    <w:name w:val="Heading 6 Char_2b7c52e9-ea85-416b-b576-9396c3c7d195"/>
    <w:basedOn w:val="style65"/>
    <w:next w:val="style4102"/>
    <w:link w:val="style6"/>
    <w:uiPriority w:val="9"/>
    <w:rPr>
      <w:rFonts w:cs="宋体" w:eastAsia="宋体"/>
      <w:i/>
      <w:iCs/>
      <w:color w:val="595959"/>
    </w:rPr>
  </w:style>
  <w:style w:type="character" w:customStyle="1" w:styleId="style4103">
    <w:name w:val="Heading 7 Char_76eb779a-0140-488c-83fc-90387355cbd4"/>
    <w:basedOn w:val="style65"/>
    <w:next w:val="style4103"/>
    <w:link w:val="style7"/>
    <w:uiPriority w:val="9"/>
    <w:rPr>
      <w:rFonts w:cs="宋体" w:eastAsia="宋体"/>
      <w:color w:val="595959"/>
    </w:rPr>
  </w:style>
  <w:style w:type="character" w:customStyle="1" w:styleId="style4104">
    <w:name w:val="Heading 8 Char_6f25db43-b32c-4468-bcd4-d4105befa46d"/>
    <w:basedOn w:val="style65"/>
    <w:next w:val="style4104"/>
    <w:link w:val="style8"/>
    <w:uiPriority w:val="9"/>
    <w:rPr>
      <w:rFonts w:cs="宋体" w:eastAsia="宋体"/>
      <w:i/>
      <w:iCs/>
      <w:color w:val="272727"/>
    </w:rPr>
  </w:style>
  <w:style w:type="character" w:customStyle="1" w:styleId="style4105">
    <w:name w:val="Heading 9 Char_9915fee3-5fa7-4599-ac01-ffcf739b13f2"/>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Aptos Display" w:cs="宋体" w:eastAsia="宋体" w:hAnsi="Aptos Display"/>
      <w:spacing w:val="-10"/>
      <w:kern w:val="28"/>
      <w:sz w:val="56"/>
      <w:szCs w:val="56"/>
    </w:rPr>
  </w:style>
  <w:style w:type="character" w:customStyle="1" w:styleId="style4106">
    <w:name w:val="Title Char_16181615-679a-4b86-9ee7-d716b76d8a2a"/>
    <w:basedOn w:val="style65"/>
    <w:next w:val="style4106"/>
    <w:link w:val="style62"/>
    <w:uiPriority w:val="10"/>
    <w:rPr>
      <w:rFonts w:ascii="Aptos Display" w:cs="宋体" w:eastAsia="宋体" w:hAnsi="Aptos Display"/>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Subtitle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53acaa1b-0d98-4d5f-9c86-c171d2dd7b39"/>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0f4761"/>
    </w:rPr>
  </w:style>
  <w:style w:type="paragraph" w:styleId="style181">
    <w:name w:val="Intense Quote"/>
    <w:basedOn w:val="style0"/>
    <w:next w:val="style0"/>
    <w:link w:val="style4109"/>
    <w:qFormat/>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style4109">
    <w:name w:val="Intense Quote Char_3ad134a5-70ef-44fb-8d6f-5df4add591ee"/>
    <w:basedOn w:val="style65"/>
    <w:next w:val="style4109"/>
    <w:link w:val="style181"/>
    <w:uiPriority w:val="30"/>
    <w:rPr>
      <w:i/>
      <w:iCs/>
      <w:color w:val="0f4761"/>
    </w:rPr>
  </w:style>
  <w:style w:type="character" w:styleId="style263">
    <w:name w:val="Intense Reference"/>
    <w:basedOn w:val="style65"/>
    <w:next w:val="style263"/>
    <w:qFormat/>
    <w:uiPriority w:val="32"/>
    <w:rPr>
      <w:b/>
      <w:bCs/>
      <w:smallCaps/>
      <w:color w:val="0f4761"/>
      <w:spacing w:val="5"/>
    </w:rPr>
  </w:style>
  <w:style w:type="paragraph" w:styleId="style94">
    <w:name w:val="Normal (Web)"/>
    <w:basedOn w:val="style0"/>
    <w:next w:val="style94"/>
    <w:uiPriority w:val="99"/>
    <w:pPr/>
    <w:rPr>
      <w:rFonts w:ascii="Times New Roman" w:cs="Times New Roman" w:hAnsi="Times New Roman"/>
    </w:rPr>
  </w:style>
  <w:style w:type="paragraph" w:styleId="style31">
    <w:name w:val="header"/>
    <w:basedOn w:val="style0"/>
    <w:next w:val="style31"/>
    <w:link w:val="style4110"/>
    <w:uiPriority w:val="99"/>
    <w:pPr>
      <w:tabs>
        <w:tab w:val="center" w:leader="none" w:pos="4513"/>
        <w:tab w:val="right" w:leader="none" w:pos="9026"/>
      </w:tabs>
      <w:spacing w:after="0" w:lineRule="auto" w:line="240"/>
    </w:pPr>
    <w:rPr/>
  </w:style>
  <w:style w:type="character" w:customStyle="1" w:styleId="style4110">
    <w:name w:val="Header Char_9e044dd5-7a5c-4df9-b059-39f2d2751fb3"/>
    <w:basedOn w:val="style65"/>
    <w:next w:val="style4110"/>
    <w:link w:val="style31"/>
    <w:uiPriority w:val="99"/>
  </w:style>
  <w:style w:type="paragraph" w:styleId="style32">
    <w:name w:val="footer"/>
    <w:basedOn w:val="style0"/>
    <w:next w:val="style32"/>
    <w:link w:val="style4111"/>
    <w:uiPriority w:val="99"/>
    <w:pPr>
      <w:tabs>
        <w:tab w:val="center" w:leader="none" w:pos="4513"/>
        <w:tab w:val="right" w:leader="none" w:pos="9026"/>
      </w:tabs>
      <w:spacing w:after="0" w:lineRule="auto" w:line="240"/>
    </w:pPr>
    <w:rPr/>
  </w:style>
  <w:style w:type="character" w:customStyle="1" w:styleId="style4111">
    <w:name w:val="Footer Char_69d2066f-95f6-4fea-93bb-70546d171d18"/>
    <w:basedOn w:val="style65"/>
    <w:next w:val="style4111"/>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723</Words>
  <Pages>2</Pages>
  <Characters>4447</Characters>
  <Application>WPS Office</Application>
  <DocSecurity>0</DocSecurity>
  <Paragraphs>18</Paragraphs>
  <ScaleCrop>false</ScaleCrop>
  <LinksUpToDate>false</LinksUpToDate>
  <CharactersWithSpaces>5159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2026-10-20T07:11:27Z</dcterms:created>
  <dc:creator>Poliana Sperandio</dc:creator>
  <lastModifiedBy>23090RA98G</lastModifiedBy>
  <dcterms:modified xsi:type="dcterms:W3CDTF">2026-10-20T07:11:27Z</dcterms:modified>
  <revision>10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69b6274732324e95a88ca75184e6c257_23</vt:lpwstr>
  </property>
</Properties>
</file>